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2130"/>
        <w:gridCol w:w="3356"/>
      </w:tblGrid>
      <w:tr w:rsidR="004E4F62" w:rsidTr="004E4F62">
        <w:tblPrEx>
          <w:tblCellMar>
            <w:top w:w="0" w:type="dxa"/>
            <w:bottom w:w="0" w:type="dxa"/>
          </w:tblCellMar>
        </w:tblPrEx>
        <w:trPr>
          <w:cantSplit/>
          <w:trHeight w:val="135"/>
        </w:trPr>
        <w:tc>
          <w:tcPr>
            <w:tcW w:w="4261" w:type="dxa"/>
          </w:tcPr>
          <w:p w:rsidR="004E4F62" w:rsidRDefault="004E4F62" w:rsidP="00A11D9A">
            <w:pPr>
              <w:pStyle w:val="Heading2"/>
              <w:rPr>
                <w:rFonts w:ascii="Arial" w:hAnsi="Arial"/>
                <w:sz w:val="22"/>
              </w:rPr>
            </w:pPr>
            <w:r>
              <w:rPr>
                <w:rFonts w:ascii="Arial" w:hAnsi="Arial"/>
                <w:sz w:val="22"/>
              </w:rPr>
              <w:t>Policy 02</w:t>
            </w:r>
          </w:p>
        </w:tc>
        <w:tc>
          <w:tcPr>
            <w:tcW w:w="2130" w:type="dxa"/>
          </w:tcPr>
          <w:p w:rsidR="004E4F62" w:rsidRDefault="004E4F62" w:rsidP="00A11D9A">
            <w:pPr>
              <w:pStyle w:val="Heading2"/>
              <w:rPr>
                <w:rFonts w:ascii="Arial" w:hAnsi="Arial"/>
                <w:sz w:val="22"/>
              </w:rPr>
            </w:pPr>
            <w:r>
              <w:rPr>
                <w:rFonts w:ascii="Arial" w:hAnsi="Arial"/>
                <w:sz w:val="22"/>
              </w:rPr>
              <w:t>Review due</w:t>
            </w:r>
          </w:p>
        </w:tc>
        <w:tc>
          <w:tcPr>
            <w:tcW w:w="3356" w:type="dxa"/>
          </w:tcPr>
          <w:p w:rsidR="004E4F62" w:rsidRDefault="004E4F62" w:rsidP="00A11D9A">
            <w:pPr>
              <w:pStyle w:val="Heading2"/>
              <w:rPr>
                <w:rFonts w:ascii="Arial" w:hAnsi="Arial"/>
                <w:bCs/>
                <w:sz w:val="22"/>
              </w:rPr>
            </w:pPr>
            <w:r>
              <w:rPr>
                <w:rFonts w:ascii="Arial" w:hAnsi="Arial"/>
                <w:bCs/>
                <w:sz w:val="22"/>
              </w:rPr>
              <w:t>October 17</w:t>
            </w:r>
          </w:p>
        </w:tc>
      </w:tr>
      <w:tr w:rsidR="004E4F62" w:rsidTr="004E4F62">
        <w:tblPrEx>
          <w:tblCellMar>
            <w:top w:w="0" w:type="dxa"/>
            <w:bottom w:w="0" w:type="dxa"/>
          </w:tblCellMar>
        </w:tblPrEx>
        <w:tc>
          <w:tcPr>
            <w:tcW w:w="4261" w:type="dxa"/>
          </w:tcPr>
          <w:p w:rsidR="004E4F62" w:rsidRDefault="004E4F62" w:rsidP="00A11D9A">
            <w:pPr>
              <w:pStyle w:val="Heading2"/>
              <w:rPr>
                <w:rFonts w:ascii="Arial" w:hAnsi="Arial"/>
                <w:sz w:val="22"/>
              </w:rPr>
            </w:pPr>
          </w:p>
          <w:p w:rsidR="004E4F62" w:rsidRDefault="004E4F62" w:rsidP="00A11D9A">
            <w:pPr>
              <w:pStyle w:val="Heading2"/>
              <w:rPr>
                <w:rFonts w:ascii="Arial" w:hAnsi="Arial"/>
                <w:sz w:val="22"/>
              </w:rPr>
            </w:pPr>
            <w:r>
              <w:rPr>
                <w:rFonts w:ascii="Arial" w:hAnsi="Arial"/>
                <w:sz w:val="22"/>
              </w:rPr>
              <w:t>Confidentiality Policy</w:t>
            </w:r>
          </w:p>
        </w:tc>
        <w:tc>
          <w:tcPr>
            <w:tcW w:w="5486" w:type="dxa"/>
            <w:gridSpan w:val="2"/>
          </w:tcPr>
          <w:p w:rsidR="004E4F62" w:rsidRDefault="004E4F62" w:rsidP="00A11D9A">
            <w:pPr>
              <w:pStyle w:val="Heading2"/>
              <w:rPr>
                <w:rFonts w:ascii="Arial" w:hAnsi="Arial"/>
                <w:sz w:val="22"/>
              </w:rPr>
            </w:pPr>
          </w:p>
        </w:tc>
      </w:tr>
    </w:tbl>
    <w:p w:rsidR="004E4F62" w:rsidRDefault="004E4F62" w:rsidP="004E4F62">
      <w:pPr>
        <w:pStyle w:val="Heading2"/>
        <w:rPr>
          <w:rFonts w:ascii="Arial" w:hAnsi="Arial"/>
          <w:sz w:val="22"/>
        </w:rPr>
      </w:pPr>
    </w:p>
    <w:p w:rsidR="004E4F62" w:rsidRDefault="004E4F62" w:rsidP="004E4F62">
      <w:pPr>
        <w:pStyle w:val="Heading2"/>
        <w:jc w:val="center"/>
        <w:rPr>
          <w:rFonts w:ascii="Arial" w:hAnsi="Arial"/>
          <w:sz w:val="22"/>
        </w:rPr>
      </w:pPr>
    </w:p>
    <w:p w:rsidR="004E4F62" w:rsidRDefault="004E4F62" w:rsidP="004E4F62">
      <w:pPr>
        <w:pStyle w:val="BodyText"/>
        <w:tabs>
          <w:tab w:val="left" w:pos="1080"/>
        </w:tabs>
        <w:rPr>
          <w:rFonts w:ascii="Arial" w:hAnsi="Arial"/>
          <w:sz w:val="22"/>
        </w:rPr>
      </w:pPr>
      <w:r>
        <w:rPr>
          <w:rFonts w:ascii="Arial" w:hAnsi="Arial"/>
          <w:sz w:val="22"/>
        </w:rPr>
        <w:t xml:space="preserve">The aim of St James’ Cottage is to promote an environment of respect with reference to confidential information relating to the children, families or group users and the groups business. </w:t>
      </w:r>
    </w:p>
    <w:p w:rsidR="004E4F62" w:rsidRDefault="004E4F62" w:rsidP="004E4F62">
      <w:pPr>
        <w:pStyle w:val="BodyText"/>
        <w:tabs>
          <w:tab w:val="left" w:pos="1080"/>
        </w:tabs>
        <w:rPr>
          <w:rFonts w:ascii="Arial" w:hAnsi="Arial"/>
          <w:sz w:val="22"/>
        </w:rPr>
      </w:pPr>
    </w:p>
    <w:p w:rsidR="004E4F62" w:rsidRDefault="004E4F62" w:rsidP="004E4F62">
      <w:pPr>
        <w:pStyle w:val="BodyText"/>
        <w:tabs>
          <w:tab w:val="left" w:pos="1080"/>
        </w:tabs>
        <w:rPr>
          <w:rFonts w:ascii="Arial" w:hAnsi="Arial"/>
          <w:b/>
          <w:sz w:val="22"/>
        </w:rPr>
      </w:pPr>
      <w:r>
        <w:rPr>
          <w:rFonts w:ascii="Arial" w:hAnsi="Arial"/>
          <w:b/>
          <w:sz w:val="22"/>
        </w:rPr>
        <w:t xml:space="preserve">Procedure </w:t>
      </w:r>
    </w:p>
    <w:p w:rsidR="004E4F62" w:rsidRDefault="004E4F62" w:rsidP="004E4F62">
      <w:pPr>
        <w:pStyle w:val="BodyText"/>
        <w:tabs>
          <w:tab w:val="left" w:pos="1080"/>
        </w:tabs>
        <w:rPr>
          <w:rFonts w:ascii="Arial" w:hAnsi="Arial"/>
          <w:b/>
          <w:sz w:val="22"/>
        </w:rPr>
      </w:pPr>
    </w:p>
    <w:p w:rsidR="004E4F62" w:rsidRDefault="004E4F62" w:rsidP="004E4F62">
      <w:pPr>
        <w:pStyle w:val="BodyText"/>
        <w:tabs>
          <w:tab w:val="left" w:pos="1080"/>
        </w:tabs>
        <w:rPr>
          <w:rFonts w:ascii="Arial" w:hAnsi="Arial"/>
          <w:b/>
          <w:sz w:val="22"/>
        </w:rPr>
      </w:pPr>
      <w:r>
        <w:rPr>
          <w:rFonts w:ascii="Arial" w:hAnsi="Arial"/>
          <w:b/>
          <w:sz w:val="22"/>
        </w:rPr>
        <w:t>Trustees &amp; Fundraising Committee Members will be reminded that: -</w:t>
      </w:r>
    </w:p>
    <w:p w:rsidR="004E4F62" w:rsidRDefault="004E4F62" w:rsidP="004E4F62">
      <w:pPr>
        <w:pStyle w:val="BodyText"/>
        <w:tabs>
          <w:tab w:val="left" w:pos="1080"/>
        </w:tabs>
        <w:rPr>
          <w:rFonts w:ascii="Arial" w:hAnsi="Arial"/>
          <w:sz w:val="22"/>
        </w:rPr>
      </w:pPr>
    </w:p>
    <w:p w:rsidR="004E4F62" w:rsidRDefault="004E4F62" w:rsidP="004E4F62">
      <w:pPr>
        <w:pStyle w:val="BodyText"/>
        <w:numPr>
          <w:ilvl w:val="0"/>
          <w:numId w:val="1"/>
        </w:numPr>
        <w:tabs>
          <w:tab w:val="left" w:pos="1080"/>
        </w:tabs>
        <w:rPr>
          <w:rFonts w:ascii="Arial" w:hAnsi="Arial"/>
          <w:sz w:val="22"/>
        </w:rPr>
      </w:pPr>
      <w:r>
        <w:rPr>
          <w:rFonts w:ascii="Arial" w:hAnsi="Arial"/>
          <w:sz w:val="22"/>
        </w:rPr>
        <w:t>During their term in office as Trustees &amp; Fundraising Committee Members, they may be party to confidential information concerning the children, families or group users, and the group’s financial business.  Any information that is received as a result of their position as a Trustee or Fundraising Committee member must remain confidential to them.</w:t>
      </w:r>
    </w:p>
    <w:p w:rsidR="004E4F62" w:rsidRDefault="004E4F62" w:rsidP="004E4F62">
      <w:pPr>
        <w:pStyle w:val="BodyText"/>
        <w:numPr>
          <w:ilvl w:val="0"/>
          <w:numId w:val="1"/>
        </w:numPr>
        <w:tabs>
          <w:tab w:val="left" w:pos="1080"/>
        </w:tabs>
        <w:rPr>
          <w:rFonts w:ascii="Arial" w:hAnsi="Arial"/>
          <w:sz w:val="22"/>
        </w:rPr>
      </w:pPr>
      <w:r>
        <w:rPr>
          <w:rFonts w:ascii="Arial" w:hAnsi="Arial"/>
          <w:sz w:val="22"/>
        </w:rPr>
        <w:t>Confidential issues must not be discussed with parents, or any other individual not connected with the organisation.</w:t>
      </w:r>
    </w:p>
    <w:p w:rsidR="004E4F62" w:rsidRDefault="004E4F62" w:rsidP="004E4F62">
      <w:pPr>
        <w:pStyle w:val="BodyText"/>
        <w:numPr>
          <w:ilvl w:val="0"/>
          <w:numId w:val="1"/>
        </w:numPr>
        <w:tabs>
          <w:tab w:val="left" w:pos="1080"/>
        </w:tabs>
        <w:rPr>
          <w:rFonts w:ascii="Arial" w:hAnsi="Arial"/>
          <w:sz w:val="22"/>
        </w:rPr>
      </w:pPr>
      <w:r>
        <w:rPr>
          <w:rFonts w:ascii="Arial" w:hAnsi="Arial"/>
          <w:sz w:val="22"/>
        </w:rPr>
        <w:t xml:space="preserve">During and after their term of office, they must not disclose or allow the disclosure of any confidential information (except in the proper course of their membership as a Trustee or Fundraising Committee)   </w:t>
      </w:r>
    </w:p>
    <w:p w:rsidR="004E4F62" w:rsidRDefault="004E4F62" w:rsidP="004E4F62">
      <w:pPr>
        <w:pStyle w:val="BodyText"/>
        <w:numPr>
          <w:ilvl w:val="0"/>
          <w:numId w:val="1"/>
        </w:numPr>
        <w:tabs>
          <w:tab w:val="left" w:pos="1080"/>
        </w:tabs>
        <w:rPr>
          <w:rFonts w:ascii="Arial" w:hAnsi="Arial"/>
          <w:sz w:val="22"/>
        </w:rPr>
      </w:pPr>
      <w:r>
        <w:rPr>
          <w:rFonts w:ascii="Arial" w:hAnsi="Arial"/>
          <w:sz w:val="22"/>
        </w:rPr>
        <w:t>On an annual basis all Trustees &amp; Fundraising Committee Members will be asked to sign the Confidentiality Policy acknowledging their responsibilities.  This will be displayed on the notice board in the blue file.</w:t>
      </w:r>
    </w:p>
    <w:p w:rsidR="004E4F62" w:rsidRDefault="004E4F62" w:rsidP="004E4F62">
      <w:pPr>
        <w:pStyle w:val="BodyText"/>
        <w:tabs>
          <w:tab w:val="left" w:pos="1080"/>
        </w:tabs>
        <w:rPr>
          <w:rFonts w:ascii="Arial" w:hAnsi="Arial"/>
          <w:sz w:val="22"/>
        </w:rPr>
      </w:pPr>
    </w:p>
    <w:p w:rsidR="004E4F62" w:rsidRDefault="004E4F62" w:rsidP="004E4F62">
      <w:pPr>
        <w:pStyle w:val="BodyText"/>
        <w:tabs>
          <w:tab w:val="left" w:pos="1080"/>
        </w:tabs>
        <w:rPr>
          <w:rFonts w:ascii="Arial" w:hAnsi="Arial"/>
          <w:b/>
          <w:sz w:val="22"/>
        </w:rPr>
      </w:pPr>
      <w:r>
        <w:rPr>
          <w:rFonts w:ascii="Arial" w:hAnsi="Arial"/>
          <w:b/>
          <w:sz w:val="22"/>
        </w:rPr>
        <w:t xml:space="preserve">Staff, volunteers and students </w:t>
      </w:r>
    </w:p>
    <w:p w:rsidR="004E4F62" w:rsidRDefault="004E4F62" w:rsidP="004E4F62">
      <w:pPr>
        <w:pStyle w:val="BodyText"/>
        <w:tabs>
          <w:tab w:val="left" w:pos="1080"/>
        </w:tabs>
        <w:rPr>
          <w:rFonts w:ascii="Arial" w:hAnsi="Arial"/>
          <w:b/>
          <w:sz w:val="22"/>
        </w:rPr>
      </w:pPr>
    </w:p>
    <w:p w:rsidR="004E4F62" w:rsidRDefault="004E4F62" w:rsidP="004E4F62">
      <w:pPr>
        <w:pStyle w:val="BodyText"/>
        <w:numPr>
          <w:ilvl w:val="0"/>
          <w:numId w:val="2"/>
        </w:numPr>
        <w:tabs>
          <w:tab w:val="left" w:pos="1080"/>
        </w:tabs>
        <w:rPr>
          <w:rFonts w:ascii="Arial" w:hAnsi="Arial"/>
          <w:sz w:val="22"/>
        </w:rPr>
      </w:pPr>
      <w:r>
        <w:rPr>
          <w:rFonts w:ascii="Arial" w:hAnsi="Arial"/>
          <w:sz w:val="22"/>
        </w:rPr>
        <w:t xml:space="preserve">A confidentiality section should be included in all staff employment contracts </w:t>
      </w:r>
    </w:p>
    <w:p w:rsidR="004E4F62" w:rsidRDefault="004E4F62" w:rsidP="004E4F62">
      <w:pPr>
        <w:pStyle w:val="BodyText"/>
        <w:numPr>
          <w:ilvl w:val="0"/>
          <w:numId w:val="2"/>
        </w:numPr>
        <w:tabs>
          <w:tab w:val="left" w:pos="1080"/>
        </w:tabs>
        <w:rPr>
          <w:rFonts w:ascii="Arial" w:hAnsi="Arial"/>
          <w:sz w:val="22"/>
        </w:rPr>
      </w:pPr>
      <w:r>
        <w:rPr>
          <w:rFonts w:ascii="Arial" w:hAnsi="Arial"/>
          <w:sz w:val="22"/>
        </w:rPr>
        <w:t xml:space="preserve">A confidentiality poster may be displayed on the notice board </w:t>
      </w:r>
    </w:p>
    <w:p w:rsidR="004E4F62" w:rsidRDefault="004E4F62" w:rsidP="004E4F62">
      <w:pPr>
        <w:pStyle w:val="BodyText"/>
        <w:numPr>
          <w:ilvl w:val="0"/>
          <w:numId w:val="2"/>
        </w:numPr>
        <w:tabs>
          <w:tab w:val="left" w:pos="1080"/>
        </w:tabs>
        <w:rPr>
          <w:rFonts w:ascii="Arial" w:hAnsi="Arial"/>
          <w:sz w:val="22"/>
        </w:rPr>
      </w:pPr>
      <w:r>
        <w:rPr>
          <w:rFonts w:ascii="Arial" w:hAnsi="Arial"/>
          <w:sz w:val="22"/>
        </w:rPr>
        <w:t>Staff, volunteers and students are given details about issues of confidentiality during their staff induction and requested to sign the Confidentiality Policy, which will be displayed on the notice board in the blue file.</w:t>
      </w:r>
    </w:p>
    <w:p w:rsidR="004E4F62" w:rsidRPr="00A2060D" w:rsidRDefault="004E4F62" w:rsidP="004E4F62">
      <w:pPr>
        <w:pStyle w:val="BodyText"/>
        <w:numPr>
          <w:ilvl w:val="0"/>
          <w:numId w:val="2"/>
        </w:numPr>
        <w:tabs>
          <w:tab w:val="left" w:pos="1080"/>
        </w:tabs>
        <w:rPr>
          <w:rFonts w:ascii="Arial" w:hAnsi="Arial"/>
          <w:sz w:val="22"/>
        </w:rPr>
      </w:pPr>
      <w:proofErr w:type="gramStart"/>
      <w:r w:rsidRPr="00A2060D">
        <w:rPr>
          <w:rFonts w:ascii="Arial" w:hAnsi="Arial"/>
          <w:sz w:val="22"/>
        </w:rPr>
        <w:t>Staff have</w:t>
      </w:r>
      <w:proofErr w:type="gramEnd"/>
      <w:r w:rsidRPr="00A2060D">
        <w:rPr>
          <w:rFonts w:ascii="Arial" w:hAnsi="Arial"/>
          <w:sz w:val="22"/>
        </w:rPr>
        <w:t xml:space="preserve"> access to Tapestry on-line learning journals at work and at home, these have individual pins codes for security reasons. Any miss use of the on-line journals by staff will be investigated and in serious cases suspension or even exclusion will be considered as stated in our Disciplinary policy.</w:t>
      </w:r>
    </w:p>
    <w:p w:rsidR="004E4F62" w:rsidRDefault="004E4F62" w:rsidP="004E4F62">
      <w:pPr>
        <w:pStyle w:val="BodyText"/>
        <w:tabs>
          <w:tab w:val="left" w:pos="1080"/>
        </w:tabs>
        <w:ind w:left="360"/>
        <w:rPr>
          <w:rFonts w:ascii="Arial" w:hAnsi="Arial"/>
          <w:sz w:val="22"/>
        </w:rPr>
      </w:pPr>
      <w:r w:rsidRPr="00556872">
        <w:rPr>
          <w:rFonts w:ascii="Arial" w:hAnsi="Arial"/>
          <w:sz w:val="22"/>
        </w:rPr>
        <w:t xml:space="preserve"> </w:t>
      </w:r>
    </w:p>
    <w:p w:rsidR="004E4F62" w:rsidRDefault="004E4F62" w:rsidP="004E4F62">
      <w:pPr>
        <w:pStyle w:val="BodyText"/>
        <w:tabs>
          <w:tab w:val="left" w:pos="1080"/>
        </w:tabs>
        <w:rPr>
          <w:rFonts w:ascii="Arial" w:hAnsi="Arial"/>
          <w:b/>
          <w:sz w:val="22"/>
        </w:rPr>
      </w:pPr>
      <w:r>
        <w:rPr>
          <w:rFonts w:ascii="Arial" w:hAnsi="Arial"/>
          <w:b/>
          <w:sz w:val="22"/>
        </w:rPr>
        <w:t xml:space="preserve">Parents and </w:t>
      </w:r>
      <w:proofErr w:type="spellStart"/>
      <w:r>
        <w:rPr>
          <w:rFonts w:ascii="Arial" w:hAnsi="Arial"/>
          <w:b/>
          <w:sz w:val="22"/>
        </w:rPr>
        <w:t>Carers</w:t>
      </w:r>
      <w:proofErr w:type="spellEnd"/>
      <w:r>
        <w:rPr>
          <w:rFonts w:ascii="Arial" w:hAnsi="Arial"/>
          <w:b/>
          <w:sz w:val="22"/>
        </w:rPr>
        <w:t xml:space="preserve"> </w:t>
      </w:r>
    </w:p>
    <w:p w:rsidR="004E4F62" w:rsidRDefault="004E4F62" w:rsidP="004E4F62">
      <w:pPr>
        <w:pStyle w:val="BodyText"/>
        <w:tabs>
          <w:tab w:val="left" w:pos="1080"/>
        </w:tabs>
        <w:rPr>
          <w:rFonts w:ascii="Arial" w:hAnsi="Arial"/>
          <w:sz w:val="22"/>
        </w:rPr>
      </w:pPr>
    </w:p>
    <w:p w:rsidR="004E4F62" w:rsidRDefault="004E4F62" w:rsidP="004E4F62">
      <w:pPr>
        <w:pStyle w:val="BodyText"/>
        <w:numPr>
          <w:ilvl w:val="0"/>
          <w:numId w:val="3"/>
        </w:numPr>
        <w:tabs>
          <w:tab w:val="left" w:pos="1080"/>
        </w:tabs>
        <w:rPr>
          <w:rFonts w:ascii="Arial" w:hAnsi="Arial"/>
          <w:sz w:val="22"/>
        </w:rPr>
      </w:pPr>
      <w:r>
        <w:rPr>
          <w:rFonts w:ascii="Arial" w:hAnsi="Arial"/>
          <w:sz w:val="22"/>
        </w:rPr>
        <w:t>Parents will have access to their child’s files using the Tapestry on-line learning journals, which is pin secured, along with any other relevant records of their own children held in cottage.</w:t>
      </w:r>
    </w:p>
    <w:p w:rsidR="004E4F62" w:rsidRDefault="004E4F62" w:rsidP="004E4F62">
      <w:pPr>
        <w:pStyle w:val="BodyText"/>
        <w:numPr>
          <w:ilvl w:val="0"/>
          <w:numId w:val="3"/>
        </w:numPr>
        <w:tabs>
          <w:tab w:val="left" w:pos="1080"/>
        </w:tabs>
        <w:rPr>
          <w:rFonts w:ascii="Arial" w:hAnsi="Arial"/>
          <w:sz w:val="22"/>
        </w:rPr>
      </w:pPr>
      <w:r>
        <w:rPr>
          <w:rFonts w:ascii="Arial" w:hAnsi="Arial"/>
          <w:sz w:val="22"/>
        </w:rPr>
        <w:t xml:space="preserve">Information given by Parents / </w:t>
      </w:r>
      <w:proofErr w:type="spellStart"/>
      <w:r>
        <w:rPr>
          <w:rFonts w:ascii="Arial" w:hAnsi="Arial"/>
          <w:sz w:val="22"/>
        </w:rPr>
        <w:t>carers</w:t>
      </w:r>
      <w:proofErr w:type="spellEnd"/>
      <w:r>
        <w:rPr>
          <w:rFonts w:ascii="Arial" w:hAnsi="Arial"/>
          <w:sz w:val="22"/>
        </w:rPr>
        <w:t xml:space="preserve"> to the manager or staff will only be shared in-line with our parental agreement and Safeguarding policy. </w:t>
      </w:r>
    </w:p>
    <w:p w:rsidR="004E4F62" w:rsidRDefault="004E4F62" w:rsidP="004E4F62">
      <w:pPr>
        <w:pStyle w:val="BodyText"/>
        <w:tabs>
          <w:tab w:val="left" w:pos="1080"/>
        </w:tabs>
        <w:rPr>
          <w:rFonts w:ascii="Arial" w:hAnsi="Arial"/>
          <w:sz w:val="22"/>
        </w:rPr>
      </w:pPr>
    </w:p>
    <w:p w:rsidR="004E4F62" w:rsidRDefault="004E4F62" w:rsidP="004E4F62">
      <w:pPr>
        <w:rPr>
          <w:rFonts w:ascii="Arial" w:hAnsi="Arial"/>
          <w:sz w:val="22"/>
        </w:rPr>
      </w:pPr>
    </w:p>
    <w:p w:rsidR="004E4F62" w:rsidRDefault="004E4F62" w:rsidP="004E4F62">
      <w:pPr>
        <w:ind w:left="450" w:hanging="450"/>
        <w:rPr>
          <w:rFonts w:ascii="Arial" w:hAnsi="Arial"/>
          <w:sz w:val="22"/>
        </w:rPr>
      </w:pPr>
    </w:p>
    <w:p w:rsidR="004E4F62" w:rsidRDefault="004E4F62" w:rsidP="004E4F62">
      <w:pPr>
        <w:ind w:left="450" w:hanging="450"/>
        <w:rPr>
          <w:rFonts w:ascii="Arial" w:hAnsi="Arial"/>
          <w:sz w:val="22"/>
        </w:rPr>
      </w:pPr>
    </w:p>
    <w:p w:rsidR="004E4F62" w:rsidRDefault="004E4F62" w:rsidP="004E4F62">
      <w:pPr>
        <w:ind w:left="450" w:hanging="450"/>
        <w:rPr>
          <w:rFonts w:ascii="Arial" w:hAnsi="Arial"/>
          <w:sz w:val="22"/>
        </w:rPr>
      </w:pPr>
    </w:p>
    <w:p w:rsidR="004E4F62" w:rsidRDefault="004E4F62" w:rsidP="004E4F62">
      <w:pPr>
        <w:ind w:left="450" w:hanging="450"/>
        <w:rPr>
          <w:rFonts w:ascii="Arial" w:hAnsi="Arial"/>
          <w:sz w:val="22"/>
        </w:rPr>
      </w:pPr>
    </w:p>
    <w:p w:rsidR="004E4F62" w:rsidRDefault="004E4F62" w:rsidP="004E4F62">
      <w:pPr>
        <w:ind w:left="450" w:hanging="450"/>
        <w:rPr>
          <w:rFonts w:ascii="Arial" w:hAnsi="Arial"/>
          <w:sz w:val="22"/>
        </w:rPr>
      </w:pPr>
    </w:p>
    <w:p w:rsidR="004E4F62" w:rsidRDefault="004E4F62" w:rsidP="004E4F62">
      <w:pPr>
        <w:ind w:left="450" w:hanging="450"/>
        <w:rPr>
          <w:rFonts w:ascii="Arial" w:hAnsi="Arial"/>
          <w:sz w:val="22"/>
        </w:rPr>
      </w:pPr>
    </w:p>
    <w:p w:rsidR="00097898" w:rsidRDefault="00097898"/>
    <w:sectPr w:rsidR="00097898" w:rsidSect="000978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DE2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891B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4F62"/>
    <w:rsid w:val="00097898"/>
    <w:rsid w:val="004E4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E4F62"/>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4F62"/>
    <w:rPr>
      <w:rFonts w:ascii="Times New Roman" w:eastAsia="Times New Roman" w:hAnsi="Times New Roman" w:cs="Times New Roman"/>
      <w:b/>
      <w:sz w:val="24"/>
      <w:szCs w:val="20"/>
      <w:lang w:val="en-US"/>
    </w:rPr>
  </w:style>
  <w:style w:type="paragraph" w:styleId="BodyText">
    <w:name w:val="Body Text"/>
    <w:basedOn w:val="Normal"/>
    <w:link w:val="BodyTextChar"/>
    <w:semiHidden/>
    <w:rsid w:val="004E4F62"/>
    <w:rPr>
      <w:szCs w:val="20"/>
      <w:lang w:val="en-US"/>
    </w:rPr>
  </w:style>
  <w:style w:type="character" w:customStyle="1" w:styleId="BodyTextChar">
    <w:name w:val="Body Text Char"/>
    <w:basedOn w:val="DefaultParagraphFont"/>
    <w:link w:val="BodyText"/>
    <w:semiHidden/>
    <w:rsid w:val="004E4F62"/>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Sharren</dc:creator>
  <cp:lastModifiedBy>Sharren</cp:lastModifiedBy>
  <cp:revision>1</cp:revision>
  <dcterms:created xsi:type="dcterms:W3CDTF">2016-11-30T09:11:00Z</dcterms:created>
  <dcterms:modified xsi:type="dcterms:W3CDTF">2016-11-30T09:12:00Z</dcterms:modified>
</cp:coreProperties>
</file>